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920" w:rsidRDefault="000A7EEB" w:rsidP="00563920">
      <w:pPr>
        <w:pBdr>
          <w:bottom w:val="single" w:sz="12" w:space="1" w:color="auto"/>
        </w:pBdr>
        <w:spacing w:after="0" w:line="240" w:lineRule="auto"/>
      </w:pPr>
      <w:r>
        <w:t>VO Bildungstheorie und Gesellschaftskritik</w:t>
      </w:r>
      <w:r>
        <w:tab/>
      </w:r>
      <w:r>
        <w:tab/>
      </w:r>
      <w:r>
        <w:tab/>
      </w:r>
      <w:r>
        <w:tab/>
      </w:r>
      <w:r>
        <w:tab/>
        <w:t>3. VO, am 4.11.2009</w:t>
      </w:r>
    </w:p>
    <w:p w:rsidR="00563920" w:rsidRDefault="00563920" w:rsidP="00563920">
      <w:pPr>
        <w:pBdr>
          <w:bottom w:val="single" w:sz="12" w:space="1" w:color="auto"/>
        </w:pBdr>
        <w:spacing w:after="0" w:line="240" w:lineRule="auto"/>
      </w:pPr>
      <w:r>
        <w:t>Stefanie Pfeiffer</w:t>
      </w:r>
    </w:p>
    <w:p w:rsidR="000A7EEB" w:rsidRPr="000A7EEB" w:rsidRDefault="000A7EEB" w:rsidP="000A7EEB">
      <w:pPr>
        <w:spacing w:after="0" w:line="240" w:lineRule="auto"/>
        <w:rPr>
          <w:b/>
          <w:color w:val="FF0000"/>
          <w:u w:val="single"/>
        </w:rPr>
      </w:pPr>
      <w:r w:rsidRPr="000A7EEB">
        <w:rPr>
          <w:b/>
          <w:color w:val="FF0000"/>
          <w:u w:val="single"/>
        </w:rPr>
        <w:t>Sozialisationssysteme</w:t>
      </w:r>
    </w:p>
    <w:p w:rsidR="000A7EEB" w:rsidRDefault="000A7EEB" w:rsidP="000A7EEB">
      <w:pPr>
        <w:spacing w:after="0" w:line="240" w:lineRule="auto"/>
        <w:rPr>
          <w:b/>
          <w:color w:val="FF0000"/>
        </w:rPr>
      </w:pPr>
    </w:p>
    <w:p w:rsidR="000A7EEB" w:rsidRPr="000A7EEB" w:rsidRDefault="00BF2DF9" w:rsidP="000A7EEB">
      <w:pPr>
        <w:spacing w:after="0" w:line="240" w:lineRule="auto"/>
        <w:rPr>
          <w:color w:val="FF0000"/>
        </w:rPr>
      </w:pPr>
      <w:r>
        <w:rPr>
          <w:noProof/>
          <w:color w:val="FF0000"/>
          <w:lang w:eastAsia="de-DE"/>
        </w:rPr>
        <w:pict>
          <v:oval id="_x0000_s1030" style="position:absolute;margin-left:31.9pt;margin-top:.35pt;width:84pt;height:81.75pt;z-index:-251658240"/>
        </w:pict>
      </w:r>
    </w:p>
    <w:p w:rsidR="000A7EEB" w:rsidRDefault="00BF2DF9" w:rsidP="000A7EEB">
      <w:pPr>
        <w:spacing w:after="0" w:line="240" w:lineRule="auto"/>
        <w:rPr>
          <w:color w:val="000000" w:themeColor="text1"/>
        </w:rPr>
      </w:pPr>
      <w:r>
        <w:rPr>
          <w:noProof/>
          <w:color w:val="000000" w:themeColor="text1"/>
          <w:lang w:eastAsia="de-DE"/>
        </w:rPr>
        <w:pict>
          <v:oval id="_x0000_s1032" style="position:absolute;margin-left:211.15pt;margin-top:-.35pt;width:48.75pt;height:51pt;z-index:-251657216"/>
        </w:pict>
      </w:r>
    </w:p>
    <w:p w:rsidR="000A7EEB" w:rsidRDefault="000A7EEB" w:rsidP="000A7EEB">
      <w:pPr>
        <w:spacing w:after="0" w:line="240" w:lineRule="auto"/>
        <w:rPr>
          <w:color w:val="000000" w:themeColor="text1"/>
        </w:rPr>
      </w:pPr>
      <w:r>
        <w:rPr>
          <w:color w:val="000000" w:themeColor="text1"/>
        </w:rPr>
        <w:t xml:space="preserve">                  Sozialisation</w:t>
      </w:r>
      <w:r>
        <w:rPr>
          <w:color w:val="000000" w:themeColor="text1"/>
        </w:rPr>
        <w:tab/>
      </w:r>
      <w:r>
        <w:rPr>
          <w:color w:val="000000" w:themeColor="text1"/>
        </w:rPr>
        <w:tab/>
      </w:r>
      <w:r>
        <w:rPr>
          <w:color w:val="000000" w:themeColor="text1"/>
        </w:rPr>
        <w:tab/>
      </w:r>
      <w:r>
        <w:rPr>
          <w:color w:val="000000" w:themeColor="text1"/>
        </w:rPr>
        <w:tab/>
        <w:t>Erziehung</w:t>
      </w: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r>
        <w:rPr>
          <w:color w:val="000000" w:themeColor="text1"/>
          <w:u w:val="single"/>
        </w:rPr>
        <w:t>Sozialisation:</w:t>
      </w:r>
      <w:r>
        <w:rPr>
          <w:color w:val="000000" w:themeColor="text1"/>
        </w:rPr>
        <w:t xml:space="preserve"> ist ungeplant und „passiert“</w:t>
      </w: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r>
        <w:rPr>
          <w:color w:val="000000" w:themeColor="text1"/>
          <w:u w:val="single"/>
        </w:rPr>
        <w:t>Erziehung:</w:t>
      </w:r>
      <w:r>
        <w:rPr>
          <w:color w:val="000000" w:themeColor="text1"/>
        </w:rPr>
        <w:t xml:space="preserve"> ist eine Teilmenge der Sozialisation, sind beabsichtigt und ausgerichtet auf Ziele/ Normen, im Englischen gibt es für Erziehung und Bildung einen gemeinsamen Begriff: „education“.</w:t>
      </w: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p>
    <w:p w:rsidR="000A7EEB" w:rsidRDefault="00BF2DF9" w:rsidP="000A7EEB">
      <w:pPr>
        <w:spacing w:after="0" w:line="240" w:lineRule="auto"/>
        <w:rPr>
          <w:color w:val="000000" w:themeColor="text1"/>
        </w:rPr>
      </w:pPr>
      <w:r>
        <w:rPr>
          <w:noProof/>
          <w:color w:val="000000" w:themeColor="text1"/>
          <w:lang w:eastAsia="de-DE"/>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7" type="#_x0000_t88" style="position:absolute;margin-left:72.4pt;margin-top:-.35pt;width:13.5pt;height:76.65pt;z-index:251662336"/>
        </w:pict>
      </w:r>
      <w:r>
        <w:rPr>
          <w:noProof/>
          <w:color w:val="000000" w:themeColor="text1"/>
          <w:lang w:eastAsia="de-DE"/>
        </w:rPr>
        <w:pict>
          <v:oval id="_x0000_s1033" style="position:absolute;margin-left:-15.35pt;margin-top:-.35pt;width:83.25pt;height:81.75pt;z-index:-251656192"/>
        </w:pict>
      </w:r>
    </w:p>
    <w:p w:rsidR="000A7EEB" w:rsidRDefault="000A7EEB" w:rsidP="000A7EEB">
      <w:pPr>
        <w:spacing w:after="0" w:line="240" w:lineRule="auto"/>
        <w:rPr>
          <w:color w:val="000000" w:themeColor="text1"/>
        </w:rPr>
      </w:pPr>
      <w:r>
        <w:rPr>
          <w:color w:val="000000" w:themeColor="text1"/>
        </w:rPr>
        <w:t>Sozialisation</w:t>
      </w:r>
    </w:p>
    <w:p w:rsidR="000A7EEB" w:rsidRDefault="000A7EEB" w:rsidP="000A7EEB">
      <w:pPr>
        <w:spacing w:after="0" w:line="240" w:lineRule="auto"/>
        <w:rPr>
          <w:color w:val="000000" w:themeColor="text1"/>
        </w:rPr>
      </w:pPr>
      <w:r>
        <w:rPr>
          <w:color w:val="000000" w:themeColor="text1"/>
        </w:rPr>
        <w:tab/>
      </w:r>
      <w:r>
        <w:rPr>
          <w:color w:val="000000" w:themeColor="text1"/>
        </w:rPr>
        <w:tab/>
      </w:r>
      <w:r>
        <w:rPr>
          <w:color w:val="000000" w:themeColor="text1"/>
        </w:rPr>
        <w:tab/>
        <w:t>Lernen im weitesten Sinne (sozial vermitteltes Lernen)</w:t>
      </w:r>
    </w:p>
    <w:p w:rsidR="000A7EEB" w:rsidRDefault="00BF2DF9" w:rsidP="000A7EEB">
      <w:pPr>
        <w:spacing w:after="0" w:line="240" w:lineRule="auto"/>
        <w:rPr>
          <w:color w:val="000000" w:themeColor="text1"/>
        </w:rPr>
      </w:pPr>
      <w:r>
        <w:rPr>
          <w:noProof/>
          <w:color w:val="000000" w:themeColor="text1"/>
          <w:lang w:eastAsia="de-DE"/>
        </w:rPr>
        <w:pict>
          <v:oval id="_x0000_s1036" style="position:absolute;margin-left:-3.35pt;margin-top:5.85pt;width:50.25pt;height:35.25pt;z-index:-251655168"/>
        </w:pict>
      </w:r>
    </w:p>
    <w:p w:rsidR="000A7EEB" w:rsidRDefault="000A7EEB" w:rsidP="000A7EEB">
      <w:pPr>
        <w:spacing w:after="0" w:line="240" w:lineRule="auto"/>
        <w:rPr>
          <w:color w:val="000000" w:themeColor="text1"/>
        </w:rPr>
      </w:pPr>
      <w:r>
        <w:rPr>
          <w:color w:val="000000" w:themeColor="text1"/>
        </w:rPr>
        <w:t xml:space="preserve"> Erziehung</w:t>
      </w:r>
      <w:r>
        <w:rPr>
          <w:color w:val="000000" w:themeColor="text1"/>
        </w:rPr>
        <w:tab/>
      </w:r>
      <w:r>
        <w:rPr>
          <w:color w:val="000000" w:themeColor="text1"/>
        </w:rPr>
        <w:tab/>
      </w:r>
      <w:r>
        <w:rPr>
          <w:color w:val="000000" w:themeColor="text1"/>
        </w:rPr>
        <w:tab/>
      </w:r>
    </w:p>
    <w:p w:rsidR="000A7EEB" w:rsidRDefault="000A7EEB" w:rsidP="000A7EEB">
      <w:pPr>
        <w:spacing w:after="0" w:line="240" w:lineRule="auto"/>
        <w:rPr>
          <w:color w:val="000000" w:themeColor="text1"/>
        </w:rPr>
      </w:pPr>
    </w:p>
    <w:p w:rsidR="000A7EEB" w:rsidRDefault="000A7EEB" w:rsidP="000A7EEB">
      <w:pPr>
        <w:spacing w:after="0" w:line="240" w:lineRule="auto"/>
        <w:rPr>
          <w:color w:val="000000" w:themeColor="text1"/>
        </w:rPr>
      </w:pPr>
    </w:p>
    <w:p w:rsidR="000A7EEB" w:rsidRDefault="00453FB7" w:rsidP="000A7EEB">
      <w:pPr>
        <w:spacing w:after="0" w:line="240" w:lineRule="auto"/>
        <w:rPr>
          <w:color w:val="000000" w:themeColor="text1"/>
        </w:rPr>
      </w:pPr>
      <w:r>
        <w:rPr>
          <w:color w:val="000000" w:themeColor="text1"/>
        </w:rPr>
        <w:t>Sozialisation soll durch die Familie stattfinden – nicht mehr selbstverständlich (Familie ist nicht gleich Familie).</w:t>
      </w:r>
    </w:p>
    <w:p w:rsidR="00453FB7" w:rsidRDefault="00453FB7" w:rsidP="000A7EEB">
      <w:pPr>
        <w:spacing w:after="0" w:line="240" w:lineRule="auto"/>
        <w:rPr>
          <w:color w:val="000000" w:themeColor="text1"/>
        </w:rPr>
      </w:pPr>
    </w:p>
    <w:p w:rsidR="00453FB7" w:rsidRDefault="00453FB7" w:rsidP="000A7EEB">
      <w:pPr>
        <w:spacing w:after="0" w:line="240" w:lineRule="auto"/>
        <w:rPr>
          <w:color w:val="000000" w:themeColor="text1"/>
        </w:rPr>
      </w:pPr>
      <w:r>
        <w:rPr>
          <w:color w:val="000000" w:themeColor="text1"/>
        </w:rPr>
        <w:t>Ab der Pubertät: „peers“ – die Gruppe von Gleichaltrigen, Freundeskreis. Kann förderlich für schulisches Lernen sein, muss aber nicht sein (z.B. durch falschen Freundeskreis)</w:t>
      </w:r>
    </w:p>
    <w:p w:rsidR="00453FB7" w:rsidRDefault="00453FB7" w:rsidP="000A7EEB">
      <w:pPr>
        <w:spacing w:after="0" w:line="240" w:lineRule="auto"/>
        <w:rPr>
          <w:color w:val="000000" w:themeColor="text1"/>
        </w:rPr>
      </w:pPr>
    </w:p>
    <w:p w:rsidR="00453FB7" w:rsidRDefault="00453FB7" w:rsidP="000A7EEB">
      <w:pPr>
        <w:spacing w:after="0" w:line="240" w:lineRule="auto"/>
        <w:rPr>
          <w:color w:val="000000" w:themeColor="text1"/>
        </w:rPr>
      </w:pPr>
      <w:r>
        <w:rPr>
          <w:color w:val="000000" w:themeColor="text1"/>
        </w:rPr>
        <w:t>(Massen-) Medien: werden immer mehr zum „Miterzieher“</w:t>
      </w:r>
    </w:p>
    <w:p w:rsidR="00453FB7" w:rsidRDefault="00453FB7" w:rsidP="000A7EEB">
      <w:pPr>
        <w:spacing w:after="0" w:line="240" w:lineRule="auto"/>
        <w:rPr>
          <w:color w:val="000000" w:themeColor="text1"/>
        </w:rPr>
      </w:pPr>
    </w:p>
    <w:p w:rsidR="00453FB7" w:rsidRDefault="00453FB7" w:rsidP="000A7EEB">
      <w:pPr>
        <w:spacing w:after="0" w:line="240" w:lineRule="auto"/>
        <w:rPr>
          <w:color w:val="000000" w:themeColor="text1"/>
        </w:rPr>
      </w:pPr>
      <w:r>
        <w:rPr>
          <w:color w:val="000000" w:themeColor="text1"/>
        </w:rPr>
        <w:t>Der Einfluss von Jugendverbänden (z.B. Katholische Jugend) nimmt immer mehr ab, auch die Kirche als Wertevermittlerin verliert immer mehr an Bedeutung.</w:t>
      </w:r>
    </w:p>
    <w:p w:rsidR="00453FB7" w:rsidRDefault="00453FB7" w:rsidP="000A7EEB">
      <w:pPr>
        <w:spacing w:after="0" w:line="240" w:lineRule="auto"/>
        <w:rPr>
          <w:color w:val="000000" w:themeColor="text1"/>
        </w:rPr>
      </w:pPr>
    </w:p>
    <w:p w:rsidR="00453FB7" w:rsidRDefault="00453FB7" w:rsidP="000A7EEB">
      <w:pPr>
        <w:spacing w:after="0" w:line="240" w:lineRule="auto"/>
        <w:rPr>
          <w:color w:val="000000" w:themeColor="text1"/>
        </w:rPr>
      </w:pPr>
      <w:r>
        <w:rPr>
          <w:color w:val="000000" w:themeColor="text1"/>
        </w:rPr>
        <w:t>Schule: soll ein Raum für Erziehung sein, schädliche Formen der Erziehung sollen ferngehalten werden.</w:t>
      </w:r>
    </w:p>
    <w:p w:rsidR="00453FB7" w:rsidRPr="00453FB7" w:rsidRDefault="00453FB7" w:rsidP="000A7EEB">
      <w:pPr>
        <w:spacing w:after="0" w:line="240" w:lineRule="auto"/>
        <w:rPr>
          <w:color w:val="FF0000"/>
        </w:rPr>
      </w:pPr>
    </w:p>
    <w:p w:rsidR="00453FB7" w:rsidRPr="00453FB7" w:rsidRDefault="00453FB7" w:rsidP="000A7EEB">
      <w:pPr>
        <w:spacing w:after="0" w:line="240" w:lineRule="auto"/>
        <w:rPr>
          <w:b/>
          <w:color w:val="FF0000"/>
          <w:u w:val="single"/>
        </w:rPr>
      </w:pPr>
      <w:r w:rsidRPr="00453FB7">
        <w:rPr>
          <w:b/>
          <w:color w:val="FF0000"/>
          <w:u w:val="single"/>
        </w:rPr>
        <w:t>Schulische Sozialisa</w:t>
      </w:r>
      <w:r>
        <w:rPr>
          <w:b/>
          <w:color w:val="FF0000"/>
          <w:u w:val="single"/>
        </w:rPr>
        <w:t>tion</w:t>
      </w:r>
    </w:p>
    <w:p w:rsidR="00453FB7" w:rsidRDefault="00453FB7" w:rsidP="000A7EEB">
      <w:pPr>
        <w:spacing w:after="0" w:line="240" w:lineRule="auto"/>
        <w:rPr>
          <w:b/>
          <w:color w:val="000000" w:themeColor="text1"/>
          <w:u w:val="single"/>
        </w:rPr>
      </w:pPr>
    </w:p>
    <w:p w:rsidR="00453FB7" w:rsidRDefault="00453FB7" w:rsidP="000A7EEB">
      <w:pPr>
        <w:spacing w:after="0" w:line="240" w:lineRule="auto"/>
      </w:pPr>
      <w:r>
        <w:t>Hartmut von Hentig – Bildung</w:t>
      </w:r>
    </w:p>
    <w:p w:rsidR="00453FB7" w:rsidRDefault="00453FB7" w:rsidP="000A7EEB">
      <w:pPr>
        <w:spacing w:after="0" w:line="240" w:lineRule="auto"/>
      </w:pPr>
      <w:r>
        <w:t>Schule als Erfahrungsraum: Kinder sollen nicht nur durch Unterricht und beabsichtigte Maßnahmen lernen, sondern auch durch Erfahrung („teilhabende Beobachtung“).</w:t>
      </w:r>
    </w:p>
    <w:p w:rsidR="00453FB7" w:rsidRDefault="00453FB7" w:rsidP="000A7EEB">
      <w:pPr>
        <w:spacing w:after="0" w:line="240" w:lineRule="auto"/>
      </w:pPr>
      <w:r>
        <w:t xml:space="preserve">Schule als „Polis“ (Gemeinwesen), in dem man durch Beobachten und Teilhaben lernt. </w:t>
      </w:r>
    </w:p>
    <w:p w:rsidR="00453FB7" w:rsidRDefault="00453FB7" w:rsidP="000A7EEB">
      <w:pPr>
        <w:spacing w:after="0" w:line="240" w:lineRule="auto"/>
      </w:pPr>
    </w:p>
    <w:p w:rsidR="00453FB7" w:rsidRDefault="00453FB7" w:rsidP="000A7EEB">
      <w:pPr>
        <w:spacing w:after="0" w:line="240" w:lineRule="auto"/>
      </w:pPr>
      <w:r>
        <w:t>„hidden curriculum“: der heimliche Lehrplan</w:t>
      </w:r>
    </w:p>
    <w:p w:rsidR="00453FB7" w:rsidRDefault="00453FB7" w:rsidP="000A7EEB">
      <w:pPr>
        <w:spacing w:after="0" w:line="240" w:lineRule="auto"/>
      </w:pPr>
      <w:r>
        <w:t>Unausgesprochen, meist unbeabsichtigt: Umgang von Stärkeren mit Schwächeren (Lehrer – Schüler) = Umgang mit Macht, Lehrer mit Lehrern (Umgang mit Solidarität), Schüler mit Schülern („social skills“), Umgang mit Leistung (!)</w:t>
      </w:r>
    </w:p>
    <w:p w:rsidR="00453FB7" w:rsidRDefault="00453FB7" w:rsidP="000A7EEB">
      <w:pPr>
        <w:spacing w:after="0" w:line="240" w:lineRule="auto"/>
      </w:pPr>
    </w:p>
    <w:p w:rsidR="00453FB7" w:rsidRDefault="00453FB7" w:rsidP="000A7EEB">
      <w:pPr>
        <w:spacing w:after="0" w:line="240" w:lineRule="auto"/>
      </w:pPr>
    </w:p>
    <w:p w:rsidR="00453FB7" w:rsidRDefault="00453FB7" w:rsidP="000A7EEB">
      <w:pPr>
        <w:spacing w:after="0" w:line="240" w:lineRule="auto"/>
      </w:pPr>
    </w:p>
    <w:p w:rsidR="00453FB7" w:rsidRDefault="00453FB7" w:rsidP="000A7EEB">
      <w:pPr>
        <w:spacing w:after="0" w:line="240" w:lineRule="auto"/>
      </w:pPr>
    </w:p>
    <w:p w:rsidR="00453FB7" w:rsidRDefault="00453FB7" w:rsidP="00A93713">
      <w:pPr>
        <w:spacing w:after="0" w:line="240" w:lineRule="auto"/>
        <w:jc w:val="both"/>
      </w:pPr>
      <w:r>
        <w:lastRenderedPageBreak/>
        <w:t>„Schulethos“: Michael Rutter – 15.000 Stunden (die ungefähre Zeit, die englische Schüler in schulischer Obhut verbringen)</w:t>
      </w:r>
    </w:p>
    <w:p w:rsidR="00453FB7" w:rsidRDefault="00453FB7" w:rsidP="00A93713">
      <w:pPr>
        <w:spacing w:after="0" w:line="240" w:lineRule="auto"/>
        <w:jc w:val="both"/>
      </w:pPr>
      <w:r>
        <w:t>Zeigt die gesamte Schulkultur im Umgang mit Leistung und im Umgang mit Zeit („Oberstufen“-Schüler in England können ihre bevorzugten Fächer wählen, haben darin oftmals 8 Stunden pro Woche. 5 Stunden finden normal statt, 2 Stunden sind vom Lehrer vorgegebene Aufgaben, 1 Stunde können sie</w:t>
      </w:r>
      <w:r w:rsidR="00A93713">
        <w:t xml:space="preserve"> sich</w:t>
      </w:r>
      <w:r>
        <w:t xml:space="preserve">, mit Bezug zum Thema, selbst </w:t>
      </w:r>
      <w:r w:rsidR="00A93713">
        <w:t>beschäftigen</w:t>
      </w:r>
      <w:r>
        <w:t>)</w:t>
      </w:r>
      <w:r w:rsidR="00A93713">
        <w:t>, im Umgang mit Gender.</w:t>
      </w:r>
    </w:p>
    <w:p w:rsidR="00A93713" w:rsidRDefault="00A93713" w:rsidP="00A93713">
      <w:pPr>
        <w:spacing w:after="0" w:line="240" w:lineRule="auto"/>
        <w:jc w:val="both"/>
      </w:pPr>
    </w:p>
    <w:p w:rsidR="00A93713" w:rsidRDefault="00A93713" w:rsidP="00A93713">
      <w:pPr>
        <w:spacing w:after="0" w:line="240" w:lineRule="auto"/>
        <w:jc w:val="both"/>
      </w:pPr>
      <w:r>
        <w:t>Hentig:</w:t>
      </w:r>
    </w:p>
    <w:p w:rsidR="00A93713" w:rsidRDefault="00A93713" w:rsidP="00A93713">
      <w:pPr>
        <w:spacing w:after="0" w:line="240" w:lineRule="auto"/>
        <w:jc w:val="both"/>
      </w:pPr>
    </w:p>
    <w:p w:rsidR="00A93713" w:rsidRDefault="00A93713" w:rsidP="00A93713">
      <w:pPr>
        <w:spacing w:after="0" w:line="240" w:lineRule="auto"/>
        <w:jc w:val="both"/>
      </w:pPr>
      <w:r>
        <w:t>Regeln</w:t>
      </w:r>
    </w:p>
    <w:p w:rsidR="00A93713" w:rsidRDefault="00A93713" w:rsidP="00A93713">
      <w:pPr>
        <w:spacing w:after="0" w:line="240" w:lineRule="auto"/>
        <w:jc w:val="both"/>
      </w:pPr>
      <w:r>
        <w:t xml:space="preserve">Rituale        </w:t>
      </w:r>
    </w:p>
    <w:p w:rsidR="00A93713" w:rsidRDefault="00A93713" w:rsidP="00A93713">
      <w:pPr>
        <w:spacing w:after="0" w:line="240" w:lineRule="auto"/>
        <w:jc w:val="both"/>
      </w:pPr>
      <w:r>
        <w:t>Routinen</w:t>
      </w:r>
    </w:p>
    <w:p w:rsidR="00A93713" w:rsidRDefault="00A93713" w:rsidP="00A93713">
      <w:pPr>
        <w:spacing w:after="0" w:line="240" w:lineRule="auto"/>
        <w:jc w:val="both"/>
      </w:pPr>
    </w:p>
    <w:p w:rsidR="00A93713" w:rsidRDefault="00A93713" w:rsidP="00A93713">
      <w:pPr>
        <w:spacing w:after="0" w:line="240" w:lineRule="auto"/>
        <w:jc w:val="both"/>
      </w:pPr>
      <w:r>
        <w:t>S. Bernfeld: „Sisyphus oder die Grenzen der Erziehung“:</w:t>
      </w:r>
    </w:p>
    <w:p w:rsidR="00A93713" w:rsidRDefault="00A93713" w:rsidP="00A93713">
      <w:pPr>
        <w:spacing w:after="0" w:line="240" w:lineRule="auto"/>
        <w:jc w:val="both"/>
      </w:pPr>
    </w:p>
    <w:p w:rsidR="00A93713" w:rsidRDefault="00A93713" w:rsidP="00A93713">
      <w:pPr>
        <w:spacing w:after="0" w:line="240" w:lineRule="auto"/>
        <w:jc w:val="both"/>
      </w:pPr>
      <w:r>
        <w:t>Fasst das Bisherige eigentlich gut zusammen: „Die Schule als Institution erzieht.“ Nicht nur dann, wenn der Lehrer sein Büchlein aufschlägt und zu unterrichten beginnt.</w:t>
      </w:r>
    </w:p>
    <w:p w:rsidR="00A93713" w:rsidRDefault="00A93713" w:rsidP="00A93713">
      <w:pPr>
        <w:spacing w:after="0" w:line="240" w:lineRule="auto"/>
        <w:jc w:val="both"/>
      </w:pPr>
    </w:p>
    <w:p w:rsidR="00A93713" w:rsidRDefault="00A93713" w:rsidP="00A93713">
      <w:pPr>
        <w:spacing w:after="0" w:line="240" w:lineRule="auto"/>
        <w:jc w:val="both"/>
      </w:pPr>
      <w:r>
        <w:t>Erziehung UND Unterricht (Wissen) definieren Bildung.  Lehrer legen ihr Augenmerk meist nur auf Unterricht.</w:t>
      </w:r>
    </w:p>
    <w:p w:rsidR="00A93713" w:rsidRDefault="00A93713" w:rsidP="00A93713">
      <w:pPr>
        <w:spacing w:after="0" w:line="240" w:lineRule="auto"/>
        <w:jc w:val="both"/>
      </w:pPr>
    </w:p>
    <w:p w:rsidR="00A93713" w:rsidRDefault="009E5ECC" w:rsidP="00A93713">
      <w:pPr>
        <w:spacing w:after="0" w:line="240" w:lineRule="auto"/>
        <w:jc w:val="both"/>
        <w:rPr>
          <w:b/>
          <w:color w:val="FF0000"/>
          <w:u w:val="single"/>
        </w:rPr>
      </w:pPr>
      <w:r w:rsidRPr="009E5ECC">
        <w:rPr>
          <w:b/>
          <w:color w:val="FF0000"/>
          <w:u w:val="single"/>
        </w:rPr>
        <w:t>Schule und LehrerInnen im Spannungsfeld individueller und gesellschaftlicher Erwartungen und Aufgaben („Funktionen“)</w:t>
      </w:r>
    </w:p>
    <w:p w:rsidR="009E5ECC" w:rsidRDefault="009E5ECC" w:rsidP="00A93713">
      <w:pPr>
        <w:spacing w:after="0" w:line="240" w:lineRule="auto"/>
        <w:jc w:val="both"/>
        <w:rPr>
          <w:b/>
          <w:color w:val="FF0000"/>
          <w:u w:val="single"/>
        </w:rPr>
      </w:pPr>
    </w:p>
    <w:p w:rsidR="009E5ECC" w:rsidRDefault="009E5ECC" w:rsidP="009E5ECC">
      <w:pPr>
        <w:pStyle w:val="Listenabsatz"/>
        <w:numPr>
          <w:ilvl w:val="0"/>
          <w:numId w:val="1"/>
        </w:numPr>
        <w:spacing w:after="0" w:line="240" w:lineRule="auto"/>
        <w:jc w:val="both"/>
        <w:rPr>
          <w:color w:val="000000" w:themeColor="text1"/>
        </w:rPr>
      </w:pPr>
      <w:r>
        <w:rPr>
          <w:color w:val="000000" w:themeColor="text1"/>
        </w:rPr>
        <w:t>Qualifikation vs. Allgemeinbildung</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 xml:space="preserve">Qualifikation: Qualifikationen sind jene Fertigkeiten, die man (eventuell) beruflich braucht (Fremdsprachen, Arbeitstugenden, Teamfähigkeit) – </w:t>
      </w:r>
      <w:r>
        <w:rPr>
          <w:color w:val="000000" w:themeColor="text1"/>
          <w:u w:val="single"/>
        </w:rPr>
        <w:t>wirtschaftlich und gesellschaftlich verwertbare Fähigkeiten</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 xml:space="preserve">Allgemeinbildung: ist jene Art von Bildung, die man als Individuum erstrebt, aber </w:t>
      </w:r>
      <w:r w:rsidRPr="009E5ECC">
        <w:rPr>
          <w:color w:val="000000" w:themeColor="text1"/>
          <w:u w:val="single"/>
        </w:rPr>
        <w:t>keinem Zwecke</w:t>
      </w:r>
      <w:r>
        <w:rPr>
          <w:color w:val="000000" w:themeColor="text1"/>
        </w:rPr>
        <w:t xml:space="preserve"> dient.</w:t>
      </w:r>
    </w:p>
    <w:p w:rsidR="009E5ECC" w:rsidRDefault="009E5ECC" w:rsidP="009E5ECC">
      <w:pPr>
        <w:spacing w:after="0" w:line="240" w:lineRule="auto"/>
        <w:jc w:val="both"/>
        <w:rPr>
          <w:color w:val="000000" w:themeColor="text1"/>
        </w:rPr>
      </w:pPr>
    </w:p>
    <w:p w:rsidR="009E5ECC" w:rsidRDefault="009E5ECC" w:rsidP="009E5ECC">
      <w:pPr>
        <w:pStyle w:val="Listenabsatz"/>
        <w:numPr>
          <w:ilvl w:val="0"/>
          <w:numId w:val="1"/>
        </w:numPr>
        <w:spacing w:after="0" w:line="240" w:lineRule="auto"/>
        <w:jc w:val="both"/>
        <w:rPr>
          <w:color w:val="000000" w:themeColor="text1"/>
        </w:rPr>
      </w:pPr>
      <w:r>
        <w:rPr>
          <w:color w:val="000000" w:themeColor="text1"/>
        </w:rPr>
        <w:t>Selektion/ Allokation vs. Förderung</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 xml:space="preserve">Allokation: ist die Zuweisung von Schulplätzen/ Studienplätzen (z.B. Bachelor </w:t>
      </w:r>
      <w:r w:rsidRPr="009E5ECC">
        <w:rPr>
          <w:color w:val="000000" w:themeColor="text1"/>
        </w:rPr>
        <w:sym w:font="Wingdings" w:char="F0E0"/>
      </w:r>
      <w:r>
        <w:rPr>
          <w:color w:val="000000" w:themeColor="text1"/>
        </w:rPr>
        <w:t xml:space="preserve"> Master, kann man nur mit bestimmten Qualifikationen beginnen). Als Lehrer schaut man, was die Kinder können und je nach dem berechtigt man zu Bildungszielen oder man enthält sich ihnen vor (z.B. Entscheidung, ob man zur Wiederholungsprüfung antreten darf oder sitzenbleibt und die Klasse wiederholt).</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 xml:space="preserve">Schelsky: Die Schule als Zuteilungsapparatur. </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Erstrebenswert ist ein gesamtschulisches, nichtselektives System.</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Noch muss man wählen: Auslesen oder Fördern.</w:t>
      </w:r>
    </w:p>
    <w:p w:rsidR="009E5ECC" w:rsidRDefault="009E5ECC" w:rsidP="009E5ECC">
      <w:pPr>
        <w:spacing w:after="0" w:line="240" w:lineRule="auto"/>
        <w:jc w:val="both"/>
        <w:rPr>
          <w:color w:val="000000" w:themeColor="text1"/>
        </w:rPr>
      </w:pPr>
    </w:p>
    <w:p w:rsidR="009E5ECC" w:rsidRDefault="009E5ECC" w:rsidP="009E5ECC">
      <w:pPr>
        <w:pStyle w:val="Listenabsatz"/>
        <w:numPr>
          <w:ilvl w:val="0"/>
          <w:numId w:val="1"/>
        </w:numPr>
        <w:spacing w:after="0" w:line="240" w:lineRule="auto"/>
        <w:jc w:val="both"/>
        <w:rPr>
          <w:color w:val="000000" w:themeColor="text1"/>
        </w:rPr>
      </w:pPr>
      <w:r>
        <w:rPr>
          <w:color w:val="000000" w:themeColor="text1"/>
        </w:rPr>
        <w:t>Legitimation vs. Emanzipation</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Legitimation: Ziel ist eine legitime Übernahme der Kinder von Regeln und Normen; man soll sich soziale Tugenden aneignen.</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Emanzipation: Man soll zu einem kritisch denkenden, subjektiven, mündigen Menschen erzogen werden. Die Frage: Anpassung oder Widerstand?</w:t>
      </w:r>
    </w:p>
    <w:p w:rsidR="009E5ECC" w:rsidRDefault="009E5ECC" w:rsidP="009E5ECC">
      <w:pPr>
        <w:spacing w:after="0" w:line="240" w:lineRule="auto"/>
        <w:jc w:val="both"/>
        <w:rPr>
          <w:color w:val="000000" w:themeColor="text1"/>
          <w:u w:val="single"/>
        </w:rPr>
      </w:pPr>
      <w:r>
        <w:rPr>
          <w:color w:val="000000" w:themeColor="text1"/>
          <w:u w:val="single"/>
        </w:rPr>
        <w:lastRenderedPageBreak/>
        <w:t>Enkulturation:</w:t>
      </w:r>
    </w:p>
    <w:p w:rsidR="009E5ECC" w:rsidRDefault="009E5ECC" w:rsidP="009E5ECC">
      <w:pPr>
        <w:spacing w:after="0" w:line="240" w:lineRule="auto"/>
        <w:jc w:val="both"/>
        <w:rPr>
          <w:color w:val="000000" w:themeColor="text1"/>
          <w:u w:val="single"/>
        </w:rPr>
      </w:pPr>
    </w:p>
    <w:p w:rsidR="009E5ECC" w:rsidRDefault="009E5ECC" w:rsidP="009E5ECC">
      <w:pPr>
        <w:spacing w:after="0" w:line="240" w:lineRule="auto"/>
        <w:jc w:val="both"/>
        <w:rPr>
          <w:color w:val="000000" w:themeColor="text1"/>
        </w:rPr>
      </w:pPr>
      <w:r>
        <w:rPr>
          <w:color w:val="000000" w:themeColor="text1"/>
        </w:rPr>
        <w:t>Beitrag der Schule, in eine Kultur des Sozialwesens hineinzuwachsen. In der EU gibt es keine ideale Leitkultur, sondern viele gleichwertige Daseinsformen. Wichtig: Toleranz.</w:t>
      </w:r>
    </w:p>
    <w:p w:rsidR="009E5ECC" w:rsidRDefault="009E5ECC" w:rsidP="009E5ECC">
      <w:pPr>
        <w:spacing w:after="0" w:line="240" w:lineRule="auto"/>
        <w:jc w:val="both"/>
        <w:rPr>
          <w:color w:val="000000" w:themeColor="text1"/>
        </w:rPr>
      </w:pPr>
      <w:r>
        <w:rPr>
          <w:color w:val="000000" w:themeColor="text1"/>
        </w:rPr>
        <w:t>In Frankreich hat die Enkulturation erhebliche Bedeutung: Es gibt in französischen Schulen einen Idealtyp der französischen Kultur, dem sich alle Kinder annähern sollen.</w:t>
      </w:r>
    </w:p>
    <w:p w:rsidR="009E5ECC" w:rsidRDefault="009E5ECC" w:rsidP="009E5ECC">
      <w:pPr>
        <w:spacing w:after="0" w:line="240" w:lineRule="auto"/>
        <w:jc w:val="both"/>
        <w:rPr>
          <w:color w:val="000000" w:themeColor="text1"/>
        </w:rPr>
      </w:pPr>
      <w:r>
        <w:rPr>
          <w:color w:val="000000" w:themeColor="text1"/>
        </w:rPr>
        <w:t>Wird u.a. durch das „hidden curriculum“ vermittelt.</w:t>
      </w:r>
    </w:p>
    <w:p w:rsidR="009E5ECC" w:rsidRDefault="009E5ECC" w:rsidP="009E5ECC">
      <w:pPr>
        <w:spacing w:after="0" w:line="240" w:lineRule="auto"/>
        <w:jc w:val="both"/>
        <w:rPr>
          <w:color w:val="000000" w:themeColor="text1"/>
        </w:rPr>
      </w:pPr>
    </w:p>
    <w:p w:rsidR="009E5ECC" w:rsidRDefault="009E5ECC" w:rsidP="009E5ECC">
      <w:pPr>
        <w:spacing w:after="0" w:line="240" w:lineRule="auto"/>
        <w:jc w:val="both"/>
        <w:rPr>
          <w:color w:val="000000" w:themeColor="text1"/>
        </w:rPr>
      </w:pPr>
      <w:r>
        <w:rPr>
          <w:color w:val="000000" w:themeColor="text1"/>
        </w:rPr>
        <w:t>PRÜFUNG – diese Widersprüche erklären (z.B.)</w:t>
      </w:r>
    </w:p>
    <w:p w:rsidR="009E5ECC" w:rsidRDefault="009E5ECC" w:rsidP="009E5ECC">
      <w:pPr>
        <w:spacing w:after="0" w:line="240" w:lineRule="auto"/>
        <w:jc w:val="both"/>
        <w:rPr>
          <w:color w:val="000000" w:themeColor="text1"/>
        </w:rPr>
      </w:pPr>
    </w:p>
    <w:p w:rsidR="009E5ECC" w:rsidRDefault="004343C5" w:rsidP="009E5ECC">
      <w:pPr>
        <w:spacing w:after="0" w:line="240" w:lineRule="auto"/>
        <w:jc w:val="both"/>
        <w:rPr>
          <w:b/>
          <w:color w:val="FF0000"/>
          <w:u w:val="single"/>
        </w:rPr>
      </w:pPr>
      <w:r>
        <w:rPr>
          <w:b/>
          <w:color w:val="FF0000"/>
          <w:u w:val="single"/>
        </w:rPr>
        <w:t>Bildungschancen – Gleichheit verstanden als</w:t>
      </w:r>
    </w:p>
    <w:p w:rsidR="004343C5" w:rsidRDefault="004343C5" w:rsidP="009E5ECC">
      <w:pPr>
        <w:spacing w:after="0" w:line="240" w:lineRule="auto"/>
        <w:jc w:val="both"/>
        <w:rPr>
          <w:b/>
          <w:color w:val="FF0000"/>
          <w:u w:val="single"/>
        </w:rPr>
      </w:pPr>
    </w:p>
    <w:p w:rsidR="004343C5" w:rsidRDefault="004343C5" w:rsidP="004343C5">
      <w:pPr>
        <w:pStyle w:val="Listenabsatz"/>
        <w:numPr>
          <w:ilvl w:val="0"/>
          <w:numId w:val="2"/>
        </w:numPr>
        <w:spacing w:after="0" w:line="240" w:lineRule="auto"/>
        <w:jc w:val="both"/>
        <w:rPr>
          <w:color w:val="000000" w:themeColor="text1"/>
        </w:rPr>
      </w:pPr>
      <w:r>
        <w:rPr>
          <w:color w:val="000000" w:themeColor="text1"/>
        </w:rPr>
        <w:t>Formal – juridische Chancengleichheit: Es gibt keine explizite Diskriminierung in Österreich. Jeder hat das Recht auf Bildung.</w:t>
      </w:r>
    </w:p>
    <w:p w:rsidR="004343C5" w:rsidRDefault="004343C5" w:rsidP="004343C5">
      <w:pPr>
        <w:pStyle w:val="Listenabsatz"/>
        <w:numPr>
          <w:ilvl w:val="0"/>
          <w:numId w:val="2"/>
        </w:numPr>
        <w:spacing w:after="0" w:line="240" w:lineRule="auto"/>
        <w:jc w:val="both"/>
        <w:rPr>
          <w:color w:val="000000" w:themeColor="text1"/>
        </w:rPr>
      </w:pPr>
      <w:r>
        <w:rPr>
          <w:color w:val="000000" w:themeColor="text1"/>
        </w:rPr>
        <w:t>Tatsächliche „opportunity to learn“: regional, religiös, sozial, geschlechtsspezifisch bedingt. Das ist de facto chancenmindernd und geht über Punkt 1 hinaus.</w:t>
      </w:r>
    </w:p>
    <w:p w:rsidR="004343C5" w:rsidRDefault="004343C5" w:rsidP="004343C5">
      <w:pPr>
        <w:pStyle w:val="Listenabsatz"/>
        <w:numPr>
          <w:ilvl w:val="0"/>
          <w:numId w:val="2"/>
        </w:numPr>
        <w:spacing w:after="0" w:line="240" w:lineRule="auto"/>
        <w:jc w:val="both"/>
        <w:rPr>
          <w:color w:val="000000" w:themeColor="text1"/>
        </w:rPr>
      </w:pPr>
      <w:r>
        <w:rPr>
          <w:color w:val="000000" w:themeColor="text1"/>
        </w:rPr>
        <w:t xml:space="preserve">Aufwandsgleichheit: finanzieller Aufwand für ein Kind, das eine spezifische Schul-/Studienlaufbahn durchläuft. Variiert von Schultyp zu Schultyp stark. </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Volksschulausbildung: für 4 Jahre rund 20.000€</w:t>
      </w:r>
    </w:p>
    <w:p w:rsidR="00516BCD" w:rsidRDefault="00516BCD" w:rsidP="00516BCD">
      <w:pPr>
        <w:spacing w:after="0" w:line="240" w:lineRule="auto"/>
        <w:jc w:val="both"/>
        <w:rPr>
          <w:color w:val="000000" w:themeColor="text1"/>
        </w:rPr>
      </w:pPr>
      <w:r>
        <w:rPr>
          <w:color w:val="000000" w:themeColor="text1"/>
        </w:rPr>
        <w:t>AHS: für 8 Jahre rund 56.000 €</w:t>
      </w:r>
    </w:p>
    <w:p w:rsidR="00516BCD" w:rsidRDefault="00516BCD" w:rsidP="00516BCD">
      <w:pPr>
        <w:spacing w:after="0" w:line="240" w:lineRule="auto"/>
        <w:jc w:val="both"/>
        <w:rPr>
          <w:color w:val="000000" w:themeColor="text1"/>
        </w:rPr>
      </w:pPr>
      <w:r>
        <w:rPr>
          <w:color w:val="000000" w:themeColor="text1"/>
        </w:rPr>
        <w:t>Studium: variiert. PP und Geschichte sind z.B. „Billigstudien“, eine Ausbildung zum Veterinärmediziner ist viel teurer. Pauschal kann man sagen, dass ein Studium rund 120.000 € kostet.</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Gesamt kostet diese Laufbahn etwa 200.000 €!!!</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Alle Schüler bekommen aber nicht die gleiche Schulbildung:</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Volksschule: 20.000 €</w:t>
      </w:r>
    </w:p>
    <w:p w:rsidR="00516BCD" w:rsidRDefault="00516BCD" w:rsidP="00516BCD">
      <w:pPr>
        <w:spacing w:after="0" w:line="240" w:lineRule="auto"/>
        <w:jc w:val="both"/>
        <w:rPr>
          <w:color w:val="000000" w:themeColor="text1"/>
        </w:rPr>
      </w:pPr>
      <w:r>
        <w:rPr>
          <w:color w:val="000000" w:themeColor="text1"/>
        </w:rPr>
        <w:t>Hauptschule: 4 Jahre rund 27.000 €</w:t>
      </w:r>
    </w:p>
    <w:p w:rsidR="00516BCD" w:rsidRDefault="00516BCD" w:rsidP="00516BCD">
      <w:pPr>
        <w:spacing w:after="0" w:line="240" w:lineRule="auto"/>
        <w:jc w:val="both"/>
        <w:rPr>
          <w:color w:val="000000" w:themeColor="text1"/>
        </w:rPr>
      </w:pPr>
      <w:r>
        <w:rPr>
          <w:color w:val="000000" w:themeColor="text1"/>
        </w:rPr>
        <w:t>Handelsschule: 2 Jahre rund 8.000 €</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Gesamt rund 65.000 € für Mobilisierungen der Begabungen!!! (also viel weniger als in obigem Beispiel)</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Rechtfertigung?! Schwer zu sagen, eventuell mit den „grades of return“: Was bekommt der Staat an Steuern von bestimmten Berufsgruppen zurück?</w:t>
      </w:r>
    </w:p>
    <w:p w:rsidR="00516BCD" w:rsidRDefault="00516BCD" w:rsidP="00516BCD">
      <w:pPr>
        <w:spacing w:after="0" w:line="240" w:lineRule="auto"/>
        <w:jc w:val="both"/>
        <w:rPr>
          <w:color w:val="000000" w:themeColor="text1"/>
        </w:rPr>
      </w:pPr>
    </w:p>
    <w:p w:rsidR="00516BCD" w:rsidRDefault="00516BCD" w:rsidP="00516BCD">
      <w:pPr>
        <w:spacing w:after="0" w:line="240" w:lineRule="auto"/>
        <w:jc w:val="both"/>
        <w:rPr>
          <w:color w:val="000000" w:themeColor="text1"/>
        </w:rPr>
      </w:pPr>
      <w:r>
        <w:rPr>
          <w:color w:val="000000" w:themeColor="text1"/>
        </w:rPr>
        <w:t xml:space="preserve">Eine Ausnahme bildet die Sonderschule. Pro Jahr und Kind kostet dort die Ausbildung 25.000 €, da die Kinder von Natur aus benachteiligt sind und so spezielles Personal und speziellen Unterricht benötigen. </w:t>
      </w:r>
    </w:p>
    <w:p w:rsidR="00D74CDA" w:rsidRDefault="00D74CDA" w:rsidP="00516BCD">
      <w:pPr>
        <w:spacing w:after="0" w:line="240" w:lineRule="auto"/>
        <w:jc w:val="both"/>
        <w:rPr>
          <w:color w:val="000000" w:themeColor="text1"/>
        </w:rPr>
      </w:pPr>
    </w:p>
    <w:p w:rsidR="00D74CDA" w:rsidRDefault="00D74CDA" w:rsidP="00D74CDA">
      <w:pPr>
        <w:pStyle w:val="Listenabsatz"/>
        <w:numPr>
          <w:ilvl w:val="0"/>
          <w:numId w:val="2"/>
        </w:numPr>
        <w:spacing w:after="0" w:line="240" w:lineRule="auto"/>
        <w:jc w:val="both"/>
        <w:rPr>
          <w:color w:val="000000" w:themeColor="text1"/>
        </w:rPr>
      </w:pPr>
      <w:r>
        <w:rPr>
          <w:color w:val="000000" w:themeColor="text1"/>
        </w:rPr>
        <w:t>Kompensatorische Bildung („3+“ – keine Ahnung, was damit gemeint ist, hat Gruber nicht näher erläutert)</w:t>
      </w:r>
    </w:p>
    <w:p w:rsidR="009C7DF9" w:rsidRDefault="009C7DF9" w:rsidP="009C7DF9">
      <w:pPr>
        <w:spacing w:after="0" w:line="240" w:lineRule="auto"/>
        <w:jc w:val="both"/>
        <w:rPr>
          <w:color w:val="000000" w:themeColor="text1"/>
        </w:rPr>
      </w:pPr>
      <w:r>
        <w:rPr>
          <w:color w:val="000000" w:themeColor="text1"/>
        </w:rPr>
        <w:t xml:space="preserve"> </w:t>
      </w:r>
    </w:p>
    <w:p w:rsidR="009C7DF9" w:rsidRDefault="009C7DF9" w:rsidP="009C7DF9">
      <w:pPr>
        <w:spacing w:after="0" w:line="240" w:lineRule="auto"/>
        <w:jc w:val="both"/>
        <w:rPr>
          <w:color w:val="000000" w:themeColor="text1"/>
        </w:rPr>
      </w:pPr>
      <w:r>
        <w:rPr>
          <w:color w:val="000000" w:themeColor="text1"/>
        </w:rPr>
        <w:t>z.B. Stützlehrer für DaZ (Deutsch als Zweitsprache) für Kinder mit Migrationshintergrund.</w:t>
      </w:r>
    </w:p>
    <w:p w:rsidR="009C7DF9" w:rsidRDefault="009C7DF9" w:rsidP="009C7DF9">
      <w:pPr>
        <w:spacing w:after="0" w:line="240" w:lineRule="auto"/>
        <w:jc w:val="both"/>
        <w:rPr>
          <w:color w:val="000000" w:themeColor="text1"/>
        </w:rPr>
      </w:pPr>
    </w:p>
    <w:p w:rsidR="009C7DF9" w:rsidRDefault="009C7DF9" w:rsidP="009C7DF9">
      <w:pPr>
        <w:pStyle w:val="Listenabsatz"/>
        <w:numPr>
          <w:ilvl w:val="0"/>
          <w:numId w:val="2"/>
        </w:numPr>
        <w:spacing w:after="0" w:line="240" w:lineRule="auto"/>
        <w:jc w:val="both"/>
        <w:rPr>
          <w:color w:val="000000" w:themeColor="text1"/>
        </w:rPr>
      </w:pPr>
      <w:r>
        <w:rPr>
          <w:color w:val="000000" w:themeColor="text1"/>
        </w:rPr>
        <w:t>Ergebnisgleichheit: Chancengleichheiten liegen erst dann vor, wenn das Erreichen des gleichen Bildungsstandards von Gleichbegabten (unabhängig von Herkunft, Geschlecht, sozialem Status…) gewährleistet ist.</w:t>
      </w:r>
    </w:p>
    <w:p w:rsidR="009C7DF9" w:rsidRDefault="009C7DF9" w:rsidP="009C7DF9">
      <w:pPr>
        <w:spacing w:after="0" w:line="240" w:lineRule="auto"/>
        <w:ind w:left="360"/>
        <w:jc w:val="both"/>
        <w:rPr>
          <w:color w:val="000000" w:themeColor="text1"/>
        </w:rPr>
      </w:pPr>
    </w:p>
    <w:p w:rsidR="009C7DF9" w:rsidRDefault="009C7DF9" w:rsidP="009C7DF9">
      <w:pPr>
        <w:pStyle w:val="Listenabsatz"/>
        <w:numPr>
          <w:ilvl w:val="0"/>
          <w:numId w:val="2"/>
        </w:numPr>
        <w:spacing w:after="0" w:line="240" w:lineRule="auto"/>
        <w:jc w:val="both"/>
        <w:rPr>
          <w:color w:val="000000" w:themeColor="text1"/>
        </w:rPr>
      </w:pPr>
      <w:r>
        <w:rPr>
          <w:color w:val="000000" w:themeColor="text1"/>
        </w:rPr>
        <w:lastRenderedPageBreak/>
        <w:t xml:space="preserve">„Lebenschancen“ – Gleichheit: bewusst selbstgewählte Ungleichheit, man lehnt bewusst eine bestimmte Karriere ab (z.B. kein Boku-Studium, man wird freiwillig Förster). Man </w:t>
      </w:r>
      <w:r>
        <w:rPr>
          <w:color w:val="000000" w:themeColor="text1"/>
          <w:u w:val="single"/>
        </w:rPr>
        <w:t>darf</w:t>
      </w:r>
      <w:r>
        <w:rPr>
          <w:color w:val="000000" w:themeColor="text1"/>
        </w:rPr>
        <w:t xml:space="preserve"> frei wählen.</w:t>
      </w:r>
    </w:p>
    <w:p w:rsidR="00FD76A7" w:rsidRPr="00FD76A7" w:rsidRDefault="00FD76A7" w:rsidP="00FD76A7">
      <w:pPr>
        <w:pStyle w:val="Listenabsatz"/>
        <w:rPr>
          <w:color w:val="000000" w:themeColor="text1"/>
        </w:rPr>
      </w:pPr>
    </w:p>
    <w:p w:rsidR="00FD76A7" w:rsidRDefault="00FD76A7" w:rsidP="00FD76A7">
      <w:pPr>
        <w:spacing w:after="0" w:line="240" w:lineRule="auto"/>
        <w:jc w:val="both"/>
        <w:rPr>
          <w:b/>
          <w:color w:val="FF0000"/>
          <w:u w:val="single"/>
        </w:rPr>
      </w:pPr>
      <w:r>
        <w:rPr>
          <w:b/>
          <w:color w:val="FF0000"/>
          <w:u w:val="single"/>
        </w:rPr>
        <w:t>Inwiefern produziert familiäre Sozialisation ungleiche Bildungschancen?</w:t>
      </w:r>
    </w:p>
    <w:p w:rsidR="00FD76A7" w:rsidRDefault="00FD76A7" w:rsidP="00FD76A7">
      <w:pPr>
        <w:spacing w:after="0" w:line="240" w:lineRule="auto"/>
        <w:jc w:val="both"/>
        <w:rPr>
          <w:b/>
          <w:color w:val="FF0000"/>
          <w:u w:val="single"/>
        </w:rPr>
      </w:pPr>
    </w:p>
    <w:p w:rsidR="00FD76A7" w:rsidRDefault="00FD76A7" w:rsidP="00FD76A7">
      <w:pPr>
        <w:spacing w:after="0" w:line="240" w:lineRule="auto"/>
        <w:jc w:val="both"/>
        <w:rPr>
          <w:color w:val="FF0000"/>
          <w:u w:val="single"/>
        </w:rPr>
      </w:pPr>
      <w:r>
        <w:rPr>
          <w:color w:val="FF0000"/>
          <w:u w:val="single"/>
        </w:rPr>
        <w:t>Unterschiedliche Wertorientierungen in Unter- und Mittelschicht</w:t>
      </w:r>
    </w:p>
    <w:p w:rsidR="00FD76A7" w:rsidRDefault="00FD76A7" w:rsidP="00FD76A7">
      <w:pPr>
        <w:spacing w:after="0" w:line="240" w:lineRule="auto"/>
        <w:jc w:val="both"/>
        <w:rPr>
          <w:color w:val="FF0000"/>
          <w:u w:val="single"/>
        </w:rPr>
      </w:pPr>
    </w:p>
    <w:p w:rsidR="00FD76A7" w:rsidRDefault="00FD76A7" w:rsidP="00FD76A7">
      <w:pPr>
        <w:spacing w:after="0" w:line="240" w:lineRule="auto"/>
        <w:jc w:val="both"/>
        <w:rPr>
          <w:color w:val="000000" w:themeColor="text1"/>
        </w:rPr>
      </w:pPr>
      <w:r>
        <w:rPr>
          <w:color w:val="000000" w:themeColor="text1"/>
        </w:rPr>
        <w:t>US</w:t>
      </w:r>
    </w:p>
    <w:p w:rsidR="00FD76A7" w:rsidRDefault="00FD76A7" w:rsidP="00FD76A7">
      <w:pPr>
        <w:spacing w:after="0" w:line="240" w:lineRule="auto"/>
        <w:jc w:val="both"/>
        <w:rPr>
          <w:color w:val="000000" w:themeColor="text1"/>
        </w:rPr>
      </w:pPr>
    </w:p>
    <w:p w:rsidR="00FD76A7" w:rsidRDefault="00FD76A7" w:rsidP="00FD76A7">
      <w:pPr>
        <w:spacing w:after="0" w:line="240" w:lineRule="auto"/>
        <w:jc w:val="both"/>
        <w:rPr>
          <w:color w:val="000000" w:themeColor="text1"/>
        </w:rPr>
      </w:pPr>
      <w:r>
        <w:rPr>
          <w:color w:val="000000" w:themeColor="text1"/>
        </w:rPr>
        <w:t>Eher weniger Bildung/ Kultur/ Finanzen</w:t>
      </w:r>
    </w:p>
    <w:p w:rsidR="00FD76A7" w:rsidRDefault="00FD76A7" w:rsidP="00FD76A7">
      <w:pPr>
        <w:spacing w:after="0" w:line="240" w:lineRule="auto"/>
        <w:jc w:val="both"/>
        <w:rPr>
          <w:color w:val="000000" w:themeColor="text1"/>
        </w:rPr>
      </w:pPr>
    </w:p>
    <w:p w:rsidR="00FD76A7" w:rsidRDefault="00FD76A7" w:rsidP="00FD76A7">
      <w:pPr>
        <w:spacing w:after="0" w:line="240" w:lineRule="auto"/>
        <w:jc w:val="both"/>
        <w:rPr>
          <w:color w:val="000000" w:themeColor="text1"/>
        </w:rPr>
      </w:pPr>
      <w:r>
        <w:rPr>
          <w:color w:val="000000" w:themeColor="text1"/>
        </w:rPr>
        <w:t>MS</w:t>
      </w:r>
    </w:p>
    <w:p w:rsidR="00FD76A7" w:rsidRDefault="00FD76A7" w:rsidP="00FD76A7">
      <w:pPr>
        <w:spacing w:after="0" w:line="240" w:lineRule="auto"/>
        <w:jc w:val="both"/>
        <w:rPr>
          <w:color w:val="000000" w:themeColor="text1"/>
        </w:rPr>
      </w:pPr>
    </w:p>
    <w:p w:rsidR="00FD76A7" w:rsidRDefault="00FD76A7" w:rsidP="00FD76A7">
      <w:pPr>
        <w:spacing w:after="0" w:line="240" w:lineRule="auto"/>
        <w:jc w:val="both"/>
        <w:rPr>
          <w:color w:val="000000" w:themeColor="text1"/>
        </w:rPr>
      </w:pPr>
      <w:r>
        <w:rPr>
          <w:color w:val="000000" w:themeColor="text1"/>
        </w:rPr>
        <w:t>Mehr kulturelles Kapital, mehr Finanzen, bessere Beziehungen („bessere Kreise“)</w:t>
      </w:r>
    </w:p>
    <w:p w:rsidR="00FD76A7" w:rsidRDefault="00FD76A7" w:rsidP="00FD76A7">
      <w:pPr>
        <w:spacing w:after="0" w:line="240" w:lineRule="auto"/>
        <w:jc w:val="both"/>
        <w:rPr>
          <w:color w:val="000000" w:themeColor="text1"/>
        </w:rPr>
      </w:pPr>
    </w:p>
    <w:tbl>
      <w:tblPr>
        <w:tblStyle w:val="Tabellengitternetz"/>
        <w:tblW w:w="0" w:type="auto"/>
        <w:tblLook w:val="04A0"/>
      </w:tblPr>
      <w:tblGrid>
        <w:gridCol w:w="4606"/>
        <w:gridCol w:w="4606"/>
      </w:tblGrid>
      <w:tr w:rsidR="00FD76A7" w:rsidTr="00FD76A7">
        <w:tc>
          <w:tcPr>
            <w:tcW w:w="4606" w:type="dxa"/>
          </w:tcPr>
          <w:p w:rsidR="00FD76A7" w:rsidRPr="00FD76A7" w:rsidRDefault="00FD76A7" w:rsidP="00FD76A7">
            <w:pPr>
              <w:jc w:val="both"/>
              <w:rPr>
                <w:b/>
                <w:color w:val="000000" w:themeColor="text1"/>
              </w:rPr>
            </w:pPr>
            <w:r>
              <w:rPr>
                <w:b/>
                <w:color w:val="000000" w:themeColor="text1"/>
              </w:rPr>
              <w:t>Unterschicht</w:t>
            </w:r>
          </w:p>
        </w:tc>
        <w:tc>
          <w:tcPr>
            <w:tcW w:w="4606" w:type="dxa"/>
          </w:tcPr>
          <w:p w:rsidR="00FD76A7" w:rsidRPr="00FD76A7" w:rsidRDefault="00FD76A7" w:rsidP="00FD76A7">
            <w:pPr>
              <w:jc w:val="both"/>
              <w:rPr>
                <w:b/>
                <w:color w:val="000000" w:themeColor="text1"/>
              </w:rPr>
            </w:pPr>
            <w:r>
              <w:rPr>
                <w:b/>
                <w:color w:val="000000" w:themeColor="text1"/>
              </w:rPr>
              <w:t>Mittelschicht</w:t>
            </w:r>
          </w:p>
        </w:tc>
      </w:tr>
      <w:tr w:rsidR="00FD76A7" w:rsidTr="00FD76A7">
        <w:tc>
          <w:tcPr>
            <w:tcW w:w="4606" w:type="dxa"/>
          </w:tcPr>
          <w:p w:rsidR="00FD76A7" w:rsidRDefault="00FD76A7" w:rsidP="00FD76A7">
            <w:pPr>
              <w:jc w:val="both"/>
              <w:rPr>
                <w:color w:val="000000" w:themeColor="text1"/>
              </w:rPr>
            </w:pPr>
            <w:r>
              <w:rPr>
                <w:color w:val="000000" w:themeColor="text1"/>
              </w:rPr>
              <w:t>gegenwartsorientiert</w:t>
            </w:r>
          </w:p>
        </w:tc>
        <w:tc>
          <w:tcPr>
            <w:tcW w:w="4606" w:type="dxa"/>
          </w:tcPr>
          <w:p w:rsidR="00FD76A7" w:rsidRDefault="00FD76A7" w:rsidP="00FD76A7">
            <w:pPr>
              <w:jc w:val="both"/>
              <w:rPr>
                <w:color w:val="000000" w:themeColor="text1"/>
              </w:rPr>
            </w:pPr>
            <w:r>
              <w:rPr>
                <w:color w:val="000000" w:themeColor="text1"/>
              </w:rPr>
              <w:t>zukunftsorientiert</w:t>
            </w:r>
          </w:p>
        </w:tc>
      </w:tr>
      <w:tr w:rsidR="00FD76A7" w:rsidTr="00FD76A7">
        <w:tc>
          <w:tcPr>
            <w:tcW w:w="4606" w:type="dxa"/>
          </w:tcPr>
          <w:p w:rsidR="00FD76A7" w:rsidRDefault="00FD76A7" w:rsidP="00FD76A7">
            <w:pPr>
              <w:jc w:val="both"/>
              <w:rPr>
                <w:color w:val="000000" w:themeColor="text1"/>
              </w:rPr>
            </w:pPr>
            <w:r>
              <w:rPr>
                <w:color w:val="000000" w:themeColor="text1"/>
              </w:rPr>
              <w:t>Passivistisch: So ist es halt. Man wählt die näheste Schule, lassen die Schule machen, Eltern mischt sich nicht ein.</w:t>
            </w:r>
          </w:p>
        </w:tc>
        <w:tc>
          <w:tcPr>
            <w:tcW w:w="4606" w:type="dxa"/>
          </w:tcPr>
          <w:p w:rsidR="00FD76A7" w:rsidRDefault="00FD76A7" w:rsidP="00FD76A7">
            <w:pPr>
              <w:jc w:val="both"/>
              <w:rPr>
                <w:color w:val="000000" w:themeColor="text1"/>
              </w:rPr>
            </w:pPr>
            <w:r>
              <w:rPr>
                <w:color w:val="000000" w:themeColor="text1"/>
              </w:rPr>
              <w:t>Aktivistisch: Eingreifen der Eltern ins Schulleben (Elternverein)</w:t>
            </w:r>
          </w:p>
        </w:tc>
      </w:tr>
      <w:tr w:rsidR="00FD76A7" w:rsidTr="00FD76A7">
        <w:tc>
          <w:tcPr>
            <w:tcW w:w="4606" w:type="dxa"/>
          </w:tcPr>
          <w:p w:rsidR="00FD76A7" w:rsidRDefault="00FD76A7" w:rsidP="00FD76A7">
            <w:pPr>
              <w:jc w:val="both"/>
              <w:rPr>
                <w:color w:val="000000" w:themeColor="text1"/>
              </w:rPr>
            </w:pPr>
            <w:r>
              <w:rPr>
                <w:color w:val="000000" w:themeColor="text1"/>
              </w:rPr>
              <w:t>Familistisch: bezogen auf Familien – und Freundeskreis, danach wird der Schultyp gewählt, Orientierung am Bezugssystem Familie.</w:t>
            </w:r>
          </w:p>
        </w:tc>
        <w:tc>
          <w:tcPr>
            <w:tcW w:w="4606" w:type="dxa"/>
          </w:tcPr>
          <w:p w:rsidR="00FD76A7" w:rsidRDefault="00FD76A7" w:rsidP="00FD76A7">
            <w:pPr>
              <w:jc w:val="both"/>
              <w:rPr>
                <w:color w:val="000000" w:themeColor="text1"/>
              </w:rPr>
            </w:pPr>
            <w:r>
              <w:rPr>
                <w:color w:val="000000" w:themeColor="text1"/>
              </w:rPr>
              <w:t>Individualistisch: Man soll sich als Person anstrengen, starker Individualitätsaufbau</w:t>
            </w:r>
          </w:p>
        </w:tc>
      </w:tr>
    </w:tbl>
    <w:p w:rsidR="00FD76A7" w:rsidRPr="00FD76A7" w:rsidRDefault="00FD76A7" w:rsidP="00FD76A7">
      <w:pPr>
        <w:spacing w:after="0" w:line="240" w:lineRule="auto"/>
        <w:jc w:val="both"/>
        <w:rPr>
          <w:color w:val="000000" w:themeColor="text1"/>
        </w:rPr>
      </w:pPr>
    </w:p>
    <w:p w:rsidR="00516BCD" w:rsidRDefault="00516BCD" w:rsidP="00516BCD">
      <w:pPr>
        <w:spacing w:after="0" w:line="240" w:lineRule="auto"/>
        <w:jc w:val="both"/>
        <w:rPr>
          <w:color w:val="000000" w:themeColor="text1"/>
        </w:rPr>
      </w:pPr>
    </w:p>
    <w:tbl>
      <w:tblPr>
        <w:tblStyle w:val="Tabellengitternetz"/>
        <w:tblW w:w="0" w:type="auto"/>
        <w:tblLook w:val="04A0"/>
      </w:tblPr>
      <w:tblGrid>
        <w:gridCol w:w="4606"/>
        <w:gridCol w:w="4606"/>
      </w:tblGrid>
      <w:tr w:rsidR="00FD76A7" w:rsidTr="00FD76A7">
        <w:tc>
          <w:tcPr>
            <w:tcW w:w="4606" w:type="dxa"/>
          </w:tcPr>
          <w:p w:rsidR="00FD76A7" w:rsidRPr="00FD76A7" w:rsidRDefault="00FD76A7" w:rsidP="00516BCD">
            <w:pPr>
              <w:jc w:val="both"/>
              <w:rPr>
                <w:b/>
                <w:color w:val="000000" w:themeColor="text1"/>
              </w:rPr>
            </w:pPr>
            <w:r>
              <w:rPr>
                <w:b/>
                <w:color w:val="000000" w:themeColor="text1"/>
              </w:rPr>
              <w:t>Unterschicht</w:t>
            </w:r>
          </w:p>
        </w:tc>
        <w:tc>
          <w:tcPr>
            <w:tcW w:w="4606" w:type="dxa"/>
          </w:tcPr>
          <w:p w:rsidR="00FD76A7" w:rsidRPr="00FD76A7" w:rsidRDefault="00FD76A7" w:rsidP="00516BCD">
            <w:pPr>
              <w:jc w:val="both"/>
              <w:rPr>
                <w:b/>
                <w:color w:val="000000" w:themeColor="text1"/>
              </w:rPr>
            </w:pPr>
            <w:r>
              <w:rPr>
                <w:b/>
                <w:color w:val="000000" w:themeColor="text1"/>
              </w:rPr>
              <w:t>Mittelschicht</w:t>
            </w:r>
          </w:p>
        </w:tc>
      </w:tr>
      <w:tr w:rsidR="00FD76A7" w:rsidTr="00FD76A7">
        <w:tc>
          <w:tcPr>
            <w:tcW w:w="4606" w:type="dxa"/>
          </w:tcPr>
          <w:p w:rsidR="00FD76A7" w:rsidRDefault="00FD76A7" w:rsidP="00516BCD">
            <w:pPr>
              <w:jc w:val="both"/>
              <w:rPr>
                <w:color w:val="000000" w:themeColor="text1"/>
              </w:rPr>
            </w:pPr>
            <w:r>
              <w:rPr>
                <w:color w:val="000000" w:themeColor="text1"/>
              </w:rPr>
              <w:t>Tadelnd, verbietend</w:t>
            </w:r>
          </w:p>
        </w:tc>
        <w:tc>
          <w:tcPr>
            <w:tcW w:w="4606" w:type="dxa"/>
          </w:tcPr>
          <w:p w:rsidR="00FD76A7" w:rsidRDefault="00FD76A7" w:rsidP="00516BCD">
            <w:pPr>
              <w:jc w:val="both"/>
              <w:rPr>
                <w:color w:val="000000" w:themeColor="text1"/>
              </w:rPr>
            </w:pPr>
            <w:r>
              <w:rPr>
                <w:color w:val="000000" w:themeColor="text1"/>
              </w:rPr>
              <w:t>Situationsbezogener, anerkennender, belobend</w:t>
            </w:r>
          </w:p>
        </w:tc>
      </w:tr>
      <w:tr w:rsidR="00FD76A7" w:rsidTr="00FD76A7">
        <w:tc>
          <w:tcPr>
            <w:tcW w:w="4606" w:type="dxa"/>
          </w:tcPr>
          <w:p w:rsidR="00FD76A7" w:rsidRDefault="00FD76A7" w:rsidP="00516BCD">
            <w:pPr>
              <w:jc w:val="both"/>
              <w:rPr>
                <w:color w:val="000000" w:themeColor="text1"/>
              </w:rPr>
            </w:pPr>
            <w:r>
              <w:rPr>
                <w:color w:val="000000" w:themeColor="text1"/>
              </w:rPr>
              <w:t>Strafend bei Regelverstößen</w:t>
            </w:r>
          </w:p>
        </w:tc>
        <w:tc>
          <w:tcPr>
            <w:tcW w:w="4606" w:type="dxa"/>
          </w:tcPr>
          <w:p w:rsidR="00FD76A7" w:rsidRDefault="00FD76A7" w:rsidP="00516BCD">
            <w:pPr>
              <w:jc w:val="both"/>
              <w:rPr>
                <w:color w:val="000000" w:themeColor="text1"/>
              </w:rPr>
            </w:pPr>
            <w:r>
              <w:rPr>
                <w:color w:val="000000" w:themeColor="text1"/>
              </w:rPr>
              <w:t>Man sucht Gründe für Regelverstöße, verbalisiert.</w:t>
            </w:r>
          </w:p>
        </w:tc>
      </w:tr>
      <w:tr w:rsidR="00FD76A7" w:rsidTr="00FD76A7">
        <w:tc>
          <w:tcPr>
            <w:tcW w:w="4606" w:type="dxa"/>
          </w:tcPr>
          <w:p w:rsidR="00FD76A7" w:rsidRDefault="00FD76A7" w:rsidP="00516BCD">
            <w:pPr>
              <w:jc w:val="both"/>
              <w:rPr>
                <w:color w:val="000000" w:themeColor="text1"/>
              </w:rPr>
            </w:pPr>
            <w:r>
              <w:rPr>
                <w:color w:val="000000" w:themeColor="text1"/>
              </w:rPr>
              <w:t>Konformitätsbezogen („Du musst brav sein.“) Mit Mimik und Gestik.</w:t>
            </w:r>
          </w:p>
        </w:tc>
        <w:tc>
          <w:tcPr>
            <w:tcW w:w="4606" w:type="dxa"/>
          </w:tcPr>
          <w:p w:rsidR="00FD76A7" w:rsidRDefault="00FD76A7" w:rsidP="00516BCD">
            <w:pPr>
              <w:jc w:val="both"/>
              <w:rPr>
                <w:color w:val="000000" w:themeColor="text1"/>
              </w:rPr>
            </w:pPr>
            <w:r>
              <w:rPr>
                <w:color w:val="000000" w:themeColor="text1"/>
              </w:rPr>
              <w:t>Betont die Selbstkontrolle, es wird weniger gestraft und gemahnt.</w:t>
            </w:r>
          </w:p>
        </w:tc>
      </w:tr>
    </w:tbl>
    <w:p w:rsidR="00516BCD" w:rsidRDefault="00516BCD" w:rsidP="00516BCD">
      <w:pPr>
        <w:spacing w:after="0" w:line="240" w:lineRule="auto"/>
        <w:jc w:val="both"/>
        <w:rPr>
          <w:color w:val="000000" w:themeColor="text1"/>
        </w:rPr>
      </w:pPr>
    </w:p>
    <w:p w:rsidR="00A75A3F" w:rsidRDefault="00A75A3F" w:rsidP="00516BCD">
      <w:pPr>
        <w:spacing w:after="0" w:line="240" w:lineRule="auto"/>
        <w:jc w:val="both"/>
        <w:rPr>
          <w:color w:val="000000" w:themeColor="text1"/>
        </w:rPr>
      </w:pPr>
    </w:p>
    <w:tbl>
      <w:tblPr>
        <w:tblStyle w:val="Tabellengitternetz"/>
        <w:tblW w:w="0" w:type="auto"/>
        <w:tblLook w:val="04A0"/>
      </w:tblPr>
      <w:tblGrid>
        <w:gridCol w:w="4606"/>
        <w:gridCol w:w="4606"/>
      </w:tblGrid>
      <w:tr w:rsidR="00A75A3F" w:rsidTr="00A75A3F">
        <w:tc>
          <w:tcPr>
            <w:tcW w:w="4606" w:type="dxa"/>
          </w:tcPr>
          <w:p w:rsidR="00A75A3F" w:rsidRPr="00A75A3F" w:rsidRDefault="00A75A3F" w:rsidP="00516BCD">
            <w:pPr>
              <w:jc w:val="both"/>
              <w:rPr>
                <w:b/>
                <w:color w:val="000000" w:themeColor="text1"/>
              </w:rPr>
            </w:pPr>
            <w:r>
              <w:rPr>
                <w:b/>
                <w:color w:val="000000" w:themeColor="text1"/>
              </w:rPr>
              <w:t>Unterschicht</w:t>
            </w:r>
          </w:p>
        </w:tc>
        <w:tc>
          <w:tcPr>
            <w:tcW w:w="4606" w:type="dxa"/>
          </w:tcPr>
          <w:p w:rsidR="00A75A3F" w:rsidRPr="00A75A3F" w:rsidRDefault="00A75A3F" w:rsidP="00516BCD">
            <w:pPr>
              <w:jc w:val="both"/>
              <w:rPr>
                <w:b/>
                <w:color w:val="000000" w:themeColor="text1"/>
              </w:rPr>
            </w:pPr>
            <w:r>
              <w:rPr>
                <w:b/>
                <w:color w:val="000000" w:themeColor="text1"/>
              </w:rPr>
              <w:t>Mittelschicht</w:t>
            </w:r>
          </w:p>
        </w:tc>
      </w:tr>
      <w:tr w:rsidR="00A75A3F" w:rsidTr="00A75A3F">
        <w:tc>
          <w:tcPr>
            <w:tcW w:w="4606" w:type="dxa"/>
          </w:tcPr>
          <w:p w:rsidR="00A75A3F" w:rsidRDefault="00A75A3F" w:rsidP="00516BCD">
            <w:pPr>
              <w:jc w:val="both"/>
              <w:rPr>
                <w:color w:val="000000" w:themeColor="text1"/>
              </w:rPr>
            </w:pPr>
            <w:r>
              <w:rPr>
                <w:color w:val="000000" w:themeColor="text1"/>
              </w:rPr>
              <w:t>Niedrige schulische Erwartungshaltung</w:t>
            </w:r>
          </w:p>
        </w:tc>
        <w:tc>
          <w:tcPr>
            <w:tcW w:w="4606" w:type="dxa"/>
          </w:tcPr>
          <w:p w:rsidR="00A75A3F" w:rsidRDefault="00A75A3F" w:rsidP="00516BCD">
            <w:pPr>
              <w:jc w:val="both"/>
              <w:rPr>
                <w:color w:val="000000" w:themeColor="text1"/>
              </w:rPr>
            </w:pPr>
            <w:r>
              <w:rPr>
                <w:color w:val="000000" w:themeColor="text1"/>
              </w:rPr>
              <w:t>Hohe schulische Erwartungshaltung, Eltern als Vorbild</w:t>
            </w:r>
          </w:p>
        </w:tc>
      </w:tr>
      <w:tr w:rsidR="00A75A3F" w:rsidTr="00A75A3F">
        <w:tc>
          <w:tcPr>
            <w:tcW w:w="4606" w:type="dxa"/>
          </w:tcPr>
          <w:p w:rsidR="00A75A3F" w:rsidRDefault="00A75A3F" w:rsidP="00516BCD">
            <w:pPr>
              <w:jc w:val="both"/>
              <w:rPr>
                <w:color w:val="000000" w:themeColor="text1"/>
              </w:rPr>
            </w:pPr>
            <w:r>
              <w:rPr>
                <w:color w:val="000000" w:themeColor="text1"/>
              </w:rPr>
              <w:t>Vermeidung von Misserfolgen (z.B. nimmt man das Kind aus der AHS – Unterstufe, um Schande zu vermeiden.)</w:t>
            </w:r>
          </w:p>
        </w:tc>
        <w:tc>
          <w:tcPr>
            <w:tcW w:w="4606" w:type="dxa"/>
          </w:tcPr>
          <w:p w:rsidR="00A75A3F" w:rsidRDefault="00A75A3F" w:rsidP="00516BCD">
            <w:pPr>
              <w:jc w:val="both"/>
              <w:rPr>
                <w:color w:val="000000" w:themeColor="text1"/>
              </w:rPr>
            </w:pPr>
            <w:r>
              <w:rPr>
                <w:color w:val="000000" w:themeColor="text1"/>
              </w:rPr>
              <w:t>Stütz – und Hilfsmechanismen bei Misserfolg (z.B. Nachhilfeunterricht)</w:t>
            </w:r>
          </w:p>
        </w:tc>
      </w:tr>
      <w:tr w:rsidR="00A75A3F" w:rsidTr="00A75A3F">
        <w:tc>
          <w:tcPr>
            <w:tcW w:w="4606" w:type="dxa"/>
          </w:tcPr>
          <w:p w:rsidR="00A75A3F" w:rsidRDefault="00A75A3F" w:rsidP="00A75A3F">
            <w:pPr>
              <w:jc w:val="both"/>
              <w:rPr>
                <w:color w:val="000000" w:themeColor="text1"/>
              </w:rPr>
            </w:pPr>
            <w:r>
              <w:rPr>
                <w:color w:val="000000" w:themeColor="text1"/>
              </w:rPr>
              <w:t>„Durchkommen“, eine Vier ist eine positive Note und das  „Sehr Gut  des kleinen Mannes“</w:t>
            </w:r>
          </w:p>
        </w:tc>
        <w:tc>
          <w:tcPr>
            <w:tcW w:w="4606" w:type="dxa"/>
          </w:tcPr>
          <w:p w:rsidR="00A75A3F" w:rsidRDefault="00A75A3F" w:rsidP="00516BCD">
            <w:pPr>
              <w:jc w:val="both"/>
              <w:rPr>
                <w:color w:val="000000" w:themeColor="text1"/>
              </w:rPr>
            </w:pPr>
            <w:r>
              <w:rPr>
                <w:color w:val="000000" w:themeColor="text1"/>
              </w:rPr>
              <w:t>Vier ist fast Fünf, nicht gut genug</w:t>
            </w:r>
          </w:p>
        </w:tc>
      </w:tr>
    </w:tbl>
    <w:p w:rsidR="00A75A3F" w:rsidRDefault="00A75A3F" w:rsidP="00516BCD">
      <w:pPr>
        <w:spacing w:after="0" w:line="240" w:lineRule="auto"/>
        <w:jc w:val="both"/>
        <w:rPr>
          <w:color w:val="000000" w:themeColor="text1"/>
        </w:rPr>
      </w:pPr>
    </w:p>
    <w:tbl>
      <w:tblPr>
        <w:tblStyle w:val="Tabellengitternetz"/>
        <w:tblW w:w="0" w:type="auto"/>
        <w:tblLook w:val="04A0"/>
      </w:tblPr>
      <w:tblGrid>
        <w:gridCol w:w="4606"/>
        <w:gridCol w:w="4606"/>
      </w:tblGrid>
      <w:tr w:rsidR="00A75A3F" w:rsidTr="00A75A3F">
        <w:tc>
          <w:tcPr>
            <w:tcW w:w="4606" w:type="dxa"/>
          </w:tcPr>
          <w:p w:rsidR="00A75A3F" w:rsidRPr="00A75A3F" w:rsidRDefault="00A75A3F" w:rsidP="00516BCD">
            <w:pPr>
              <w:jc w:val="both"/>
              <w:rPr>
                <w:b/>
                <w:color w:val="000000" w:themeColor="text1"/>
              </w:rPr>
            </w:pPr>
            <w:r>
              <w:rPr>
                <w:b/>
                <w:color w:val="000000" w:themeColor="text1"/>
              </w:rPr>
              <w:t>Unterschicht</w:t>
            </w:r>
          </w:p>
        </w:tc>
        <w:tc>
          <w:tcPr>
            <w:tcW w:w="4606" w:type="dxa"/>
          </w:tcPr>
          <w:p w:rsidR="00A75A3F" w:rsidRPr="00A75A3F" w:rsidRDefault="00A75A3F" w:rsidP="00516BCD">
            <w:pPr>
              <w:jc w:val="both"/>
              <w:rPr>
                <w:b/>
                <w:color w:val="000000" w:themeColor="text1"/>
              </w:rPr>
            </w:pPr>
            <w:r>
              <w:rPr>
                <w:b/>
                <w:color w:val="000000" w:themeColor="text1"/>
              </w:rPr>
              <w:t>Mittelschicht</w:t>
            </w:r>
          </w:p>
        </w:tc>
      </w:tr>
      <w:tr w:rsidR="00A75A3F" w:rsidTr="00A75A3F">
        <w:tc>
          <w:tcPr>
            <w:tcW w:w="4606" w:type="dxa"/>
          </w:tcPr>
          <w:p w:rsidR="00A75A3F" w:rsidRDefault="00A75A3F" w:rsidP="00516BCD">
            <w:pPr>
              <w:jc w:val="both"/>
              <w:rPr>
                <w:color w:val="000000" w:themeColor="text1"/>
              </w:rPr>
            </w:pPr>
            <w:r>
              <w:rPr>
                <w:color w:val="000000" w:themeColor="text1"/>
              </w:rPr>
              <w:t>Schulziele familienbezogen, Angst, über das familiär „normale“ System hinauszuwachsen (z.B. Matura), unsichere Schulziehe</w:t>
            </w:r>
          </w:p>
        </w:tc>
        <w:tc>
          <w:tcPr>
            <w:tcW w:w="4606" w:type="dxa"/>
          </w:tcPr>
          <w:p w:rsidR="00A75A3F" w:rsidRDefault="00A75A3F" w:rsidP="00516BCD">
            <w:pPr>
              <w:jc w:val="both"/>
              <w:rPr>
                <w:color w:val="000000" w:themeColor="text1"/>
              </w:rPr>
            </w:pPr>
            <w:r>
              <w:rPr>
                <w:color w:val="000000" w:themeColor="text1"/>
              </w:rPr>
              <w:t>Hohe Schulziele, die früh gesetzt werden (in der Volksschule), für die Basis einer gesellschaftlich angesehenen Existenz</w:t>
            </w:r>
          </w:p>
        </w:tc>
      </w:tr>
      <w:tr w:rsidR="00A75A3F" w:rsidTr="00A75A3F">
        <w:tc>
          <w:tcPr>
            <w:tcW w:w="4606" w:type="dxa"/>
          </w:tcPr>
          <w:p w:rsidR="00A75A3F" w:rsidRDefault="00A75A3F" w:rsidP="00516BCD">
            <w:pPr>
              <w:jc w:val="both"/>
              <w:rPr>
                <w:color w:val="000000" w:themeColor="text1"/>
              </w:rPr>
            </w:pPr>
            <w:r>
              <w:rPr>
                <w:color w:val="000000" w:themeColor="text1"/>
              </w:rPr>
              <w:t>Eher BHS</w:t>
            </w:r>
          </w:p>
        </w:tc>
        <w:tc>
          <w:tcPr>
            <w:tcW w:w="4606" w:type="dxa"/>
          </w:tcPr>
          <w:p w:rsidR="00A75A3F" w:rsidRDefault="00A75A3F" w:rsidP="00516BCD">
            <w:pPr>
              <w:jc w:val="both"/>
              <w:rPr>
                <w:color w:val="000000" w:themeColor="text1"/>
              </w:rPr>
            </w:pPr>
            <w:r>
              <w:rPr>
                <w:color w:val="000000" w:themeColor="text1"/>
              </w:rPr>
              <w:t>Eher AHS</w:t>
            </w:r>
          </w:p>
        </w:tc>
      </w:tr>
    </w:tbl>
    <w:p w:rsidR="00A75A3F" w:rsidRDefault="00A75A3F" w:rsidP="00516BCD">
      <w:pPr>
        <w:spacing w:after="0" w:line="240" w:lineRule="auto"/>
        <w:jc w:val="both"/>
        <w:rPr>
          <w:color w:val="000000" w:themeColor="text1"/>
        </w:rPr>
      </w:pPr>
    </w:p>
    <w:p w:rsidR="00A75A3F" w:rsidRPr="00A75A3F" w:rsidRDefault="00A75A3F" w:rsidP="00516BCD">
      <w:pPr>
        <w:spacing w:after="0" w:line="240" w:lineRule="auto"/>
        <w:jc w:val="both"/>
        <w:rPr>
          <w:color w:val="000000" w:themeColor="text1"/>
        </w:rPr>
      </w:pPr>
      <w:r>
        <w:rPr>
          <w:b/>
          <w:color w:val="FF0000"/>
          <w:u w:val="single"/>
        </w:rPr>
        <w:t xml:space="preserve">Alienation: </w:t>
      </w:r>
      <w:r>
        <w:rPr>
          <w:color w:val="000000" w:themeColor="text1"/>
        </w:rPr>
        <w:t>Wenn Unterschichtskinder aus dem familiären Bezugssystem herauswachsen (AHS, Studium), kann das Kind kulturell entfremdet werden.</w:t>
      </w:r>
    </w:p>
    <w:sectPr w:rsidR="00A75A3F" w:rsidRPr="00A75A3F" w:rsidSect="003C7A34">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07DB8"/>
    <w:multiLevelType w:val="hybridMultilevel"/>
    <w:tmpl w:val="6B60A09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595E32CD"/>
    <w:multiLevelType w:val="hybridMultilevel"/>
    <w:tmpl w:val="D48A297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A7EEB"/>
    <w:rsid w:val="000A7EEB"/>
    <w:rsid w:val="003C7A34"/>
    <w:rsid w:val="004343C5"/>
    <w:rsid w:val="00453FB7"/>
    <w:rsid w:val="00516BCD"/>
    <w:rsid w:val="00563920"/>
    <w:rsid w:val="009C7DF9"/>
    <w:rsid w:val="009E5ECC"/>
    <w:rsid w:val="00A75A3F"/>
    <w:rsid w:val="00A93713"/>
    <w:rsid w:val="00BF2DF9"/>
    <w:rsid w:val="00D74CDA"/>
    <w:rsid w:val="00FD76A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C7A3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E5ECC"/>
    <w:pPr>
      <w:ind w:left="720"/>
      <w:contextualSpacing/>
    </w:pPr>
  </w:style>
  <w:style w:type="table" w:styleId="Tabellengitternetz">
    <w:name w:val="Table Grid"/>
    <w:basedOn w:val="NormaleTabelle"/>
    <w:uiPriority w:val="59"/>
    <w:rsid w:val="00FD76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1126</Words>
  <Characters>7098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MoF - Menschen ohne Freunde</Company>
  <LinksUpToDate>false</LinksUpToDate>
  <CharactersWithSpaces>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dc:creator>
  <cp:keywords/>
  <dc:description/>
  <cp:lastModifiedBy>Steffi</cp:lastModifiedBy>
  <cp:revision>8</cp:revision>
  <cp:lastPrinted>2009-11-24T11:06:00Z</cp:lastPrinted>
  <dcterms:created xsi:type="dcterms:W3CDTF">2009-11-04T18:57:00Z</dcterms:created>
  <dcterms:modified xsi:type="dcterms:W3CDTF">2009-11-24T11:09:00Z</dcterms:modified>
</cp:coreProperties>
</file>